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827B44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620A9">
              <w:rPr>
                <w:rFonts w:asciiTheme="majorHAnsi" w:hAnsiTheme="majorHAnsi" w:cs="Arial"/>
                <w:b/>
                <w:sz w:val="18"/>
                <w:szCs w:val="18"/>
              </w:rPr>
              <w:t>Interakcije esencijalnih i toksičnih elemenata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B435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435D4">
              <w:rPr>
                <w:rFonts w:asciiTheme="majorHAnsi" w:hAnsiTheme="majorHAnsi" w:cs="Arial"/>
                <w:b/>
                <w:sz w:val="18"/>
                <w:szCs w:val="18"/>
              </w:rPr>
              <w:t>IEITE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FB5962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FB5962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 w:rsidP="003C7BC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3C7BC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 w:rsidR="003C7BC4">
              <w:rPr>
                <w:rFonts w:asciiTheme="majorHAnsi" w:hAnsiTheme="majorHAnsi"/>
                <w:b/>
                <w:sz w:val="18"/>
                <w:szCs w:val="18"/>
              </w:rPr>
              <w:t>50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 w:rsidP="003C7BC4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11</w:t>
            </w:r>
            <w:r w:rsidR="003C7BC4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 w:rsidR="003C7BC4">
              <w:rPr>
                <w:rFonts w:asciiTheme="majorHAnsi" w:hAnsiTheme="majorHAnsi"/>
                <w:b/>
                <w:sz w:val="18"/>
                <w:szCs w:val="18"/>
              </w:rPr>
              <w:t>25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>Hemija/ Hemija/usmjerenje</w:t>
            </w:r>
            <w:r w:rsidR="003620A9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 okoline i kontrola kvaliteta</w:t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dr.sc.Majda Srabović, red.prof.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620A9" w:rsidRPr="003620A9">
              <w:rPr>
                <w:rFonts w:asciiTheme="majorHAnsi" w:hAnsiTheme="majorHAnsi" w:cs="Arial"/>
                <w:b/>
                <w:sz w:val="18"/>
                <w:szCs w:val="18"/>
              </w:rPr>
              <w:t>Usvajanje i upoznavanje naučnih dokaza o najvažnijim interakcijama mineralnih elemenata i spojeva koji se baziraju na procjenama unosa, izloženosti i učinaka elemenata na zdravlje uz odgovarajuće i pouzdane instrumentalne metode određivanja u biološkim uzorcima i raznim uzorcima iz okoliša (hrana, voda, tlo, biljke..)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620A9" w:rsidRPr="003620A9">
              <w:rPr>
                <w:rFonts w:asciiTheme="majorHAnsi" w:hAnsiTheme="majorHAnsi" w:cs="Arial"/>
                <w:b/>
                <w:sz w:val="18"/>
                <w:szCs w:val="18"/>
              </w:rPr>
              <w:t>Nakon uspješno završenog kursa, student će biti u mogućnosti primjeniti stečena znanja koja se odnose na faktore biodostupnosti koji utiču na esencijalnost za fiziološke funkcije i biohemijske procese odnosno toksičnost mineralnih elemenata u organizmu te hemijske karakteristike i raziniu izloženosti/doza elementa. Štetni učinci elemenata u organizmu ne zbivaju se njihovim pojedinačnim djelovanjima već mnogostrukim interakcijama esencijalnih elemenata kao i esencijalnih i toksičnih spojeva.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620A9" w:rsidRPr="003620A9" w:rsidRDefault="00827B44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620A9" w:rsidRPr="003620A9">
              <w:rPr>
                <w:rFonts w:asciiTheme="majorHAnsi" w:hAnsiTheme="majorHAnsi" w:cs="Arial"/>
                <w:b/>
                <w:sz w:val="18"/>
                <w:szCs w:val="18"/>
              </w:rPr>
              <w:t xml:space="preserve">Esencijalni,toksični elementi i spojevi u cjelokupnom okolišu čovjeka, u hrani, vodi za piće i zraku. 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 xml:space="preserve">• Najvažnije interakcije mineralnih elemenata 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• Interakcije mineralnih elemanata i biološki aktivnih spojeva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• Interakcije elemenata i nuspojave u procesu liječenja- eliminacija iz organizma u vidu kompleks lijek-helirajuća tvar elementi</w:t>
            </w:r>
          </w:p>
          <w:p w:rsidR="00827B44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 xml:space="preserve"> • Postupci  prevencije unosa toksičnih elementa i spojeva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620A9" w:rsidRPr="003620A9" w:rsidRDefault="00827B44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620A9" w:rsidRPr="003620A9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- seminarski rad</w:t>
            </w:r>
          </w:p>
          <w:p w:rsidR="00827B44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620A9" w:rsidRPr="003620A9" w:rsidRDefault="00827B44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620A9" w:rsidRPr="003620A9">
              <w:rPr>
                <w:rFonts w:asciiTheme="majorHAnsi" w:hAnsiTheme="majorHAnsi" w:cs="Arial"/>
                <w:b/>
                <w:sz w:val="18"/>
                <w:szCs w:val="18"/>
              </w:rPr>
              <w:t>Pismena provjera znanja: Test 1, Test 2 i Završni  ispit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Test I obuhvata provjeru znanja iz predviđenih metodskih jedinica te se održava nakon 7. sedmice predavanja i nosi 20 bodova.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Test II  obuhvata provjeru znanja iz predviđenih metodskih jedinica te se održava nakon 14. sedmice predavanja i nosi 20 bodova.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Završni ispit se boduje sa 40 bodova, minimalan broj bodova na završnom ispitu je 20.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Konačni uspjeh studenta izražava se brojnom, opisnom ili slovnom ocjenom, prema sljedećoj skali: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Broj ostvarenih bodova-Brojna ocjena-Opisna ocjena-Slovna ocjena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 xml:space="preserve">0-54      5 (pet) ne zadovoljava F 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55-64    6 (šest) dovoljan E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65-74    7 (sedam) dobar D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 xml:space="preserve">75-84    8 (osam) vrlodobar C 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 xml:space="preserve">85-94    9 (devet) izvanredan B 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95-100 10 (deset) odličan A</w:t>
            </w:r>
          </w:p>
          <w:p w:rsidR="00827B44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Konačnu ocjenu student dobije sabiranjem pojedinačnih bodova dobivenih u svim oblicima provjere znanja u toku semestra. Ako student nije zadovoljan konačnom ocjenom, može poništiti bodove završnog ispita i isti raditi ponovo u popravnom terminu, ili pristupiti usmenom ispitivanju.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620A9" w:rsidRPr="003620A9" w:rsidRDefault="00827B44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620A9" w:rsidRPr="003620A9">
              <w:rPr>
                <w:rFonts w:asciiTheme="majorHAnsi" w:hAnsiTheme="majorHAnsi" w:cs="Arial"/>
                <w:b/>
                <w:sz w:val="18"/>
                <w:szCs w:val="18"/>
              </w:rPr>
              <w:t>Ocjena na ispitu se utvrđuje prema sljedećoj skali: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Način bodovanja aktivnosti studenata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Kriterij                                              Maksimalan broj bodova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Urednost pohađanja nastave        5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Test I                                                 20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Test II                                                20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Seminarski rad/projekat             15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Završni ispit                                   40</w:t>
            </w:r>
          </w:p>
          <w:p w:rsidR="00827B44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 w:cs="Arial"/>
                <w:b/>
                <w:sz w:val="18"/>
                <w:szCs w:val="18"/>
              </w:rPr>
              <w:t>Ukupno                                          100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620A9" w:rsidRPr="003620A9" w:rsidRDefault="00827B44" w:rsidP="003620A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620A9" w:rsidRPr="003620A9">
              <w:rPr>
                <w:rFonts w:asciiTheme="majorHAnsi" w:hAnsiTheme="majorHAnsi"/>
                <w:b/>
                <w:sz w:val="18"/>
                <w:szCs w:val="18"/>
              </w:rPr>
              <w:t>1.George B, Ananda P,Essential and Toxic Trace Elements and vitamins in human health2020</w:t>
            </w:r>
          </w:p>
          <w:p w:rsidR="003620A9" w:rsidRPr="003620A9" w:rsidRDefault="003620A9" w:rsidP="003620A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/>
                <w:b/>
                <w:sz w:val="18"/>
                <w:szCs w:val="18"/>
              </w:rPr>
              <w:t>2.Fowler BNordberg M, Friberg L,Handbook onToxicology of Metals Academic2007</w:t>
            </w:r>
          </w:p>
          <w:p w:rsidR="00827B44" w:rsidRDefault="003620A9" w:rsidP="003620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20A9">
              <w:rPr>
                <w:rFonts w:asciiTheme="majorHAnsi" w:hAnsiTheme="majorHAnsi"/>
                <w:b/>
                <w:sz w:val="18"/>
                <w:szCs w:val="18"/>
              </w:rPr>
              <w:t>3.Robin SGoldstein, William RHewitt, Jerry BHook, Toxic Interactions, Elseiver1990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0E1AC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0E1ACB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0E1AC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0E1ACB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D65091" w:rsidRPr="000E1AC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0E1AC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962" w:rsidRDefault="00FB5962">
      <w:pPr>
        <w:spacing w:line="240" w:lineRule="auto"/>
      </w:pPr>
      <w:r>
        <w:separator/>
      </w:r>
    </w:p>
  </w:endnote>
  <w:endnote w:type="continuationSeparator" w:id="0">
    <w:p w:rsidR="00FB5962" w:rsidRDefault="00FB59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827B44">
      <w:trPr>
        <w:trHeight w:val="445"/>
      </w:trPr>
      <w:tc>
        <w:tcPr>
          <w:tcW w:w="1470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E1ACB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E1ACB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E1AC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962" w:rsidRDefault="00FB5962">
      <w:pPr>
        <w:spacing w:after="0"/>
      </w:pPr>
      <w:r>
        <w:separator/>
      </w:r>
    </w:p>
  </w:footnote>
  <w:footnote w:type="continuationSeparator" w:id="0">
    <w:p w:rsidR="00FB5962" w:rsidRDefault="00FB59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B44" w:rsidRDefault="00827B44">
    <w:pPr>
      <w:pStyle w:val="Header"/>
    </w:pPr>
  </w:p>
  <w:p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1ACB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0A9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C7BC4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A4C0A"/>
    <w:rsid w:val="004B13EA"/>
    <w:rsid w:val="004B1D4A"/>
    <w:rsid w:val="004B5A66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07B7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A1B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271F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0A85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435D4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132AC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5962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B3CF2-A5CF-4B90-BF28-62627008D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A02B7-804F-427E-8973-96533EC5A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2025-11-19T08:58:00Z</dcterms:created>
  <dcterms:modified xsi:type="dcterms:W3CDTF">2025-11-21T09:01:00Z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